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BD5" w:rsidRPr="00A44D8C" w:rsidRDefault="00C74BD5" w:rsidP="00C74BD5">
      <w:pPr>
        <w:spacing w:before="100" w:beforeAutospacing="1" w:after="100" w:afterAutospacing="1" w:line="360" w:lineRule="auto"/>
        <w:jc w:val="both"/>
        <w:rPr>
          <w:rFonts w:ascii="Palatino Linotype" w:hAnsi="Palatino Linotype"/>
          <w:b/>
        </w:rPr>
      </w:pPr>
      <w:r w:rsidRPr="00A44D8C">
        <w:rPr>
          <w:rFonts w:ascii="Palatino Linotype" w:hAnsi="Palatino Linotype"/>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TRIGÉSIMA QUINTA SESIÓN ORDINARIA DE VEINTISÉIS DE SEPTIEMBRE DE DOS MIL DIECIOCHO, EN EL RECURSO DE REVISIÓN 02630/INFOEM/IP/RR/2018. </w:t>
      </w:r>
    </w:p>
    <w:p w:rsidR="00C74BD5" w:rsidRPr="00A44D8C" w:rsidRDefault="00C74BD5" w:rsidP="00C74BD5">
      <w:pPr>
        <w:spacing w:before="100" w:beforeAutospacing="1" w:after="100" w:afterAutospacing="1" w:line="360" w:lineRule="auto"/>
        <w:jc w:val="both"/>
        <w:rPr>
          <w:rFonts w:ascii="Palatino Linotype" w:hAnsi="Palatino Linotype"/>
        </w:rPr>
      </w:pPr>
      <w:r w:rsidRPr="00A44D8C">
        <w:rPr>
          <w:rFonts w:ascii="Palatino Linotype" w:hAnsi="Palatino Linotype"/>
        </w:rPr>
        <w:t xml:space="preserve">Con fundamento en lo dispuesto por el artículo 14, fracciones X y XI del Reglamento Interior del Instituto de Transparencia, Acceso a la Información Pública y Protección de Datos Personales del Estado de México y Municipios, la que suscribe </w:t>
      </w:r>
      <w:r w:rsidRPr="00A44D8C">
        <w:rPr>
          <w:rFonts w:ascii="Palatino Linotype" w:hAnsi="Palatino Linotype"/>
          <w:b/>
        </w:rPr>
        <w:t>EVA ABAID YAPUR</w:t>
      </w:r>
      <w:r w:rsidRPr="00A44D8C">
        <w:rPr>
          <w:rFonts w:ascii="Palatino Linotype" w:hAnsi="Palatino Linotype"/>
        </w:rPr>
        <w:t xml:space="preserve"> emite </w:t>
      </w:r>
      <w:r w:rsidRPr="00A44D8C">
        <w:rPr>
          <w:rFonts w:ascii="Palatino Linotype" w:hAnsi="Palatino Linotype"/>
          <w:b/>
        </w:rPr>
        <w:t>VOTO PARTICULAR</w:t>
      </w:r>
      <w:r w:rsidRPr="00A44D8C">
        <w:rPr>
          <w:rFonts w:ascii="Palatino Linotype" w:hAnsi="Palatino Linotype"/>
        </w:rPr>
        <w:t xml:space="preserve"> respecto de la resolución dictada en el recurso de revisión </w:t>
      </w:r>
      <w:r w:rsidRPr="00A44D8C">
        <w:rPr>
          <w:rFonts w:ascii="Palatino Linotype" w:hAnsi="Palatino Linotype"/>
          <w:b/>
        </w:rPr>
        <w:t>02630/INFOEM/IP/RR/2018</w:t>
      </w:r>
      <w:r w:rsidRPr="00A44D8C">
        <w:rPr>
          <w:rFonts w:ascii="Palatino Linotype" w:hAnsi="Palatino Linotype"/>
        </w:rPr>
        <w:t xml:space="preserve">, pronunciada por el Pleno de este Instituto ante el proyecto presentado por la Comisionada Presidenta </w:t>
      </w:r>
      <w:r w:rsidRPr="00A44D8C">
        <w:rPr>
          <w:rFonts w:ascii="Palatino Linotype" w:hAnsi="Palatino Linotype"/>
          <w:b/>
        </w:rPr>
        <w:t>ZULEMA MARTÍNEZ SÁNCHEZ</w:t>
      </w:r>
      <w:r w:rsidRPr="00A44D8C">
        <w:rPr>
          <w:rFonts w:ascii="Palatino Linotype" w:hAnsi="Palatino Linotype"/>
        </w:rPr>
        <w:t xml:space="preserve">, que es del tenor siguiente. </w:t>
      </w:r>
    </w:p>
    <w:p w:rsidR="00C74BD5" w:rsidRPr="00A44D8C" w:rsidRDefault="00C74BD5" w:rsidP="00C74BD5">
      <w:pPr>
        <w:spacing w:before="100" w:beforeAutospacing="1" w:after="100" w:afterAutospacing="1" w:line="360" w:lineRule="auto"/>
        <w:jc w:val="both"/>
        <w:rPr>
          <w:rFonts w:ascii="Palatino Linotype" w:hAnsi="Palatino Linotype"/>
        </w:rPr>
      </w:pPr>
      <w:r w:rsidRPr="00A44D8C">
        <w:rPr>
          <w:rFonts w:ascii="Palatino Linotype" w:hAnsi="Palatino Linotype"/>
        </w:rPr>
        <w:t xml:space="preserve">Es de destacar, que la suscrita comparte el sentido de la resolución del recurso de </w:t>
      </w:r>
      <w:proofErr w:type="gramStart"/>
      <w:r w:rsidRPr="00A44D8C">
        <w:rPr>
          <w:rFonts w:ascii="Palatino Linotype" w:hAnsi="Palatino Linotype"/>
        </w:rPr>
        <w:t>revisión</w:t>
      </w:r>
      <w:proofErr w:type="gramEnd"/>
      <w:r w:rsidRPr="00A44D8C">
        <w:rPr>
          <w:rFonts w:ascii="Palatino Linotype" w:hAnsi="Palatino Linotype"/>
        </w:rPr>
        <w:t xml:space="preserve">; empero, estimo necesario precisar algunas consideraciones de hecho y de derecho, tocante a parte de la información de la que se ordena la entrega. </w:t>
      </w:r>
    </w:p>
    <w:p w:rsidR="00C74BD5" w:rsidRPr="00A44D8C" w:rsidRDefault="00C74BD5" w:rsidP="00C74BD5">
      <w:pPr>
        <w:spacing w:before="100" w:beforeAutospacing="1" w:after="100" w:afterAutospacing="1" w:line="360" w:lineRule="auto"/>
        <w:jc w:val="both"/>
        <w:rPr>
          <w:rFonts w:ascii="Palatino Linotype" w:hAnsi="Palatino Linotype"/>
        </w:rPr>
      </w:pPr>
      <w:r w:rsidRPr="00A44D8C">
        <w:rPr>
          <w:rFonts w:ascii="Palatino Linotype" w:hAnsi="Palatino Linotype"/>
        </w:rPr>
        <w:t xml:space="preserve">Al respecto, tal y como quedó debidamente asentado en la resolución materia del presente voto, el particular requirió del Ayuntamiento de </w:t>
      </w:r>
      <w:proofErr w:type="spellStart"/>
      <w:r w:rsidRPr="00A44D8C">
        <w:rPr>
          <w:rFonts w:ascii="Palatino Linotype" w:hAnsi="Palatino Linotype"/>
        </w:rPr>
        <w:t>Capulhuac</w:t>
      </w:r>
      <w:proofErr w:type="spellEnd"/>
      <w:r w:rsidRPr="00A44D8C">
        <w:rPr>
          <w:rFonts w:ascii="Palatino Linotype" w:hAnsi="Palatino Linotype"/>
        </w:rPr>
        <w:t xml:space="preserve">, en lo sucesivo </w:t>
      </w:r>
      <w:r w:rsidRPr="00A44D8C">
        <w:rPr>
          <w:rFonts w:ascii="Palatino Linotype" w:hAnsi="Palatino Linotype"/>
          <w:b/>
        </w:rPr>
        <w:t>EL SUJETO OBLIGADO</w:t>
      </w:r>
      <w:r w:rsidRPr="00A44D8C">
        <w:rPr>
          <w:rFonts w:ascii="Palatino Linotype" w:hAnsi="Palatino Linotype"/>
        </w:rPr>
        <w:t>, del personal adscrito a la Tesorería Municipal la información que a continuación se desagrega:</w:t>
      </w:r>
    </w:p>
    <w:p w:rsidR="00C74BD5" w:rsidRPr="00AC7240" w:rsidRDefault="00C74BD5" w:rsidP="00C74BD5">
      <w:pPr>
        <w:spacing w:before="100" w:beforeAutospacing="1" w:after="100" w:afterAutospacing="1"/>
        <w:ind w:left="567"/>
        <w:jc w:val="both"/>
        <w:rPr>
          <w:rFonts w:ascii="Palatino Linotype" w:hAnsi="Palatino Linotype"/>
          <w:sz w:val="22"/>
          <w:szCs w:val="22"/>
        </w:rPr>
      </w:pPr>
      <w:r w:rsidRPr="00AC7240">
        <w:rPr>
          <w:rFonts w:ascii="Palatino Linotype" w:hAnsi="Palatino Linotype"/>
          <w:sz w:val="22"/>
          <w:szCs w:val="22"/>
        </w:rPr>
        <w:lastRenderedPageBreak/>
        <w:t>1. Nombre completo</w:t>
      </w:r>
    </w:p>
    <w:p w:rsidR="00C74BD5" w:rsidRPr="00AC7240" w:rsidRDefault="00C74BD5" w:rsidP="00C74BD5">
      <w:pPr>
        <w:spacing w:before="100" w:beforeAutospacing="1" w:after="100" w:afterAutospacing="1"/>
        <w:ind w:left="567"/>
        <w:jc w:val="both"/>
        <w:rPr>
          <w:rFonts w:ascii="Palatino Linotype" w:hAnsi="Palatino Linotype"/>
          <w:sz w:val="22"/>
          <w:szCs w:val="22"/>
        </w:rPr>
      </w:pPr>
      <w:r w:rsidRPr="00AC7240">
        <w:rPr>
          <w:rFonts w:ascii="Palatino Linotype" w:hAnsi="Palatino Linotype"/>
          <w:sz w:val="22"/>
          <w:szCs w:val="22"/>
        </w:rPr>
        <w:t xml:space="preserve">2. Registro Federal de Contribuyentes con </w:t>
      </w:r>
      <w:proofErr w:type="spellStart"/>
      <w:r w:rsidRPr="00AC7240">
        <w:rPr>
          <w:rFonts w:ascii="Palatino Linotype" w:hAnsi="Palatino Linotype"/>
          <w:sz w:val="22"/>
          <w:szCs w:val="22"/>
        </w:rPr>
        <w:t>Homoclave</w:t>
      </w:r>
      <w:proofErr w:type="spellEnd"/>
    </w:p>
    <w:p w:rsidR="00C74BD5" w:rsidRPr="00AC7240" w:rsidRDefault="00C74BD5" w:rsidP="00C74BD5">
      <w:pPr>
        <w:spacing w:before="100" w:beforeAutospacing="1" w:after="100" w:afterAutospacing="1"/>
        <w:ind w:left="567"/>
        <w:jc w:val="both"/>
        <w:rPr>
          <w:rFonts w:ascii="Palatino Linotype" w:hAnsi="Palatino Linotype"/>
          <w:sz w:val="22"/>
          <w:szCs w:val="22"/>
        </w:rPr>
      </w:pPr>
      <w:r w:rsidRPr="00AC7240">
        <w:rPr>
          <w:rFonts w:ascii="Palatino Linotype" w:hAnsi="Palatino Linotype"/>
          <w:sz w:val="22"/>
          <w:szCs w:val="22"/>
        </w:rPr>
        <w:t>3. Antigüedad en plaza o puesto en que se encuentren</w:t>
      </w:r>
    </w:p>
    <w:p w:rsidR="00C74BD5" w:rsidRPr="00AC7240" w:rsidRDefault="00C74BD5" w:rsidP="00C74BD5">
      <w:pPr>
        <w:spacing w:before="100" w:beforeAutospacing="1" w:after="100" w:afterAutospacing="1"/>
        <w:ind w:left="567"/>
        <w:jc w:val="both"/>
        <w:rPr>
          <w:rFonts w:ascii="Palatino Linotype" w:hAnsi="Palatino Linotype"/>
          <w:sz w:val="22"/>
          <w:szCs w:val="22"/>
        </w:rPr>
      </w:pPr>
      <w:r w:rsidRPr="00AC7240">
        <w:rPr>
          <w:rFonts w:ascii="Palatino Linotype" w:hAnsi="Palatino Linotype"/>
          <w:sz w:val="22"/>
          <w:szCs w:val="22"/>
        </w:rPr>
        <w:t>4. Sueldos, salarios brutos y netos incluyendo el desglose por concepto de percepciones y descuentos</w:t>
      </w:r>
    </w:p>
    <w:p w:rsidR="00C74BD5" w:rsidRPr="00AC7240" w:rsidRDefault="00C74BD5" w:rsidP="00C74BD5">
      <w:pPr>
        <w:spacing w:before="100" w:beforeAutospacing="1" w:after="100" w:afterAutospacing="1"/>
        <w:ind w:left="567"/>
        <w:jc w:val="both"/>
        <w:rPr>
          <w:rFonts w:ascii="Palatino Linotype" w:hAnsi="Palatino Linotype"/>
          <w:sz w:val="22"/>
          <w:szCs w:val="22"/>
        </w:rPr>
      </w:pPr>
      <w:r w:rsidRPr="00AC7240">
        <w:rPr>
          <w:rFonts w:ascii="Palatino Linotype" w:hAnsi="Palatino Linotype"/>
          <w:sz w:val="22"/>
          <w:szCs w:val="22"/>
        </w:rPr>
        <w:t>5. Fechas de pago y número de quincenas cobradas del 1 de enero de 2013 al 15 de junio de 2018</w:t>
      </w:r>
    </w:p>
    <w:p w:rsidR="00C74BD5" w:rsidRPr="00AC7240" w:rsidRDefault="00C74BD5" w:rsidP="00C74BD5">
      <w:pPr>
        <w:spacing w:before="100" w:beforeAutospacing="1" w:after="100" w:afterAutospacing="1"/>
        <w:ind w:left="567"/>
        <w:jc w:val="both"/>
        <w:rPr>
          <w:rFonts w:ascii="Palatino Linotype" w:hAnsi="Palatino Linotype"/>
          <w:sz w:val="22"/>
          <w:szCs w:val="22"/>
        </w:rPr>
      </w:pPr>
      <w:r w:rsidRPr="00AC7240">
        <w:rPr>
          <w:rFonts w:ascii="Palatino Linotype" w:hAnsi="Palatino Linotype"/>
          <w:sz w:val="22"/>
          <w:szCs w:val="22"/>
        </w:rPr>
        <w:t>6. Grado máximo de estudios</w:t>
      </w:r>
      <w:r>
        <w:rPr>
          <w:rFonts w:ascii="Palatino Linotype" w:hAnsi="Palatino Linotype"/>
          <w:sz w:val="22"/>
          <w:szCs w:val="22"/>
        </w:rPr>
        <w:tab/>
      </w:r>
    </w:p>
    <w:p w:rsidR="00C74BD5" w:rsidRPr="00AC7240" w:rsidRDefault="00C74BD5" w:rsidP="00C74BD5">
      <w:pPr>
        <w:spacing w:before="100" w:beforeAutospacing="1" w:after="100" w:afterAutospacing="1"/>
        <w:ind w:left="567"/>
        <w:jc w:val="both"/>
        <w:rPr>
          <w:rFonts w:ascii="Palatino Linotype" w:hAnsi="Palatino Linotype"/>
          <w:sz w:val="22"/>
          <w:szCs w:val="22"/>
        </w:rPr>
      </w:pPr>
      <w:r w:rsidRPr="00AC7240">
        <w:rPr>
          <w:rFonts w:ascii="Palatino Linotype" w:hAnsi="Palatino Linotype"/>
          <w:sz w:val="22"/>
          <w:szCs w:val="22"/>
        </w:rPr>
        <w:t>7. En caso de tener grado académico, copia simple del título profesional o diploma de cada grado obtenido</w:t>
      </w:r>
    </w:p>
    <w:p w:rsidR="00C74BD5" w:rsidRPr="00AC7240" w:rsidRDefault="00C74BD5" w:rsidP="00C74BD5">
      <w:pPr>
        <w:spacing w:before="100" w:beforeAutospacing="1" w:after="100" w:afterAutospacing="1"/>
        <w:ind w:left="567"/>
        <w:jc w:val="both"/>
        <w:rPr>
          <w:rFonts w:ascii="Palatino Linotype" w:hAnsi="Palatino Linotype"/>
          <w:sz w:val="22"/>
          <w:szCs w:val="22"/>
        </w:rPr>
      </w:pPr>
      <w:r w:rsidRPr="00AC7240">
        <w:rPr>
          <w:rFonts w:ascii="Palatino Linotype" w:hAnsi="Palatino Linotype"/>
          <w:sz w:val="22"/>
          <w:szCs w:val="22"/>
        </w:rPr>
        <w:t>8. Cedula profesional</w:t>
      </w:r>
    </w:p>
    <w:p w:rsidR="00C74BD5" w:rsidRPr="00A44D8C" w:rsidRDefault="00C74BD5" w:rsidP="00C74BD5">
      <w:pPr>
        <w:spacing w:before="100" w:beforeAutospacing="1" w:after="100" w:afterAutospacing="1" w:line="360" w:lineRule="auto"/>
        <w:jc w:val="both"/>
        <w:rPr>
          <w:rFonts w:ascii="Palatino Linotype" w:hAnsi="Palatino Linotype"/>
        </w:rPr>
      </w:pPr>
      <w:r w:rsidRPr="00A44D8C">
        <w:rPr>
          <w:rFonts w:ascii="Palatino Linotype" w:hAnsi="Palatino Linotype"/>
        </w:rPr>
        <w:t xml:space="preserve">Del expediente electrónico del Sistema de Acceso a la 'Información Mexiquense, </w:t>
      </w:r>
      <w:r w:rsidRPr="00A44D8C">
        <w:rPr>
          <w:rFonts w:ascii="Palatino Linotype" w:hAnsi="Palatino Linotype"/>
          <w:b/>
        </w:rPr>
        <w:t>SAIMEX</w:t>
      </w:r>
      <w:r w:rsidRPr="00A44D8C">
        <w:rPr>
          <w:rFonts w:ascii="Palatino Linotype" w:hAnsi="Palatino Linotype"/>
        </w:rPr>
        <w:t xml:space="preserve">, se advierte que </w:t>
      </w:r>
      <w:r w:rsidRPr="00A44D8C">
        <w:rPr>
          <w:rFonts w:ascii="Palatino Linotype" w:hAnsi="Palatino Linotype"/>
          <w:b/>
        </w:rPr>
        <w:t>EL SUJETO OBLIGADO</w:t>
      </w:r>
      <w:r w:rsidRPr="00A44D8C">
        <w:rPr>
          <w:rFonts w:ascii="Palatino Linotype" w:hAnsi="Palatino Linotype"/>
        </w:rPr>
        <w:t xml:space="preserve">, en respuesta esencialmente manifestó que no podía proporcionar la información solicitada; porque, se trata de información personal de los servidores públicos lo cual podría ponerlos en riesgo. </w:t>
      </w:r>
    </w:p>
    <w:p w:rsidR="00C74BD5" w:rsidRPr="00A44D8C" w:rsidRDefault="00C74BD5" w:rsidP="00C74BD5">
      <w:pPr>
        <w:spacing w:before="100" w:beforeAutospacing="1" w:after="100" w:afterAutospacing="1" w:line="360" w:lineRule="auto"/>
        <w:jc w:val="both"/>
        <w:rPr>
          <w:rFonts w:ascii="Palatino Linotype" w:hAnsi="Palatino Linotype"/>
        </w:rPr>
      </w:pPr>
      <w:r w:rsidRPr="00A44D8C">
        <w:rPr>
          <w:rFonts w:ascii="Palatino Linotype" w:hAnsi="Palatino Linotype"/>
        </w:rPr>
        <w:t xml:space="preserve">Inconforme con la respuesta, </w:t>
      </w:r>
      <w:r w:rsidRPr="00A44D8C">
        <w:rPr>
          <w:rFonts w:ascii="Palatino Linotype" w:hAnsi="Palatino Linotype"/>
          <w:b/>
        </w:rPr>
        <w:t>EL RECURRENTÉ</w:t>
      </w:r>
      <w:r w:rsidRPr="00A44D8C">
        <w:rPr>
          <w:rFonts w:ascii="Palatino Linotype" w:hAnsi="Palatino Linotype"/>
        </w:rPr>
        <w:t xml:space="preserve"> interpuso el recurso de revisión de mérito. </w:t>
      </w:r>
    </w:p>
    <w:p w:rsidR="00C74BD5" w:rsidRPr="00A44D8C" w:rsidRDefault="00C74BD5" w:rsidP="00C74BD5">
      <w:pPr>
        <w:spacing w:before="100" w:beforeAutospacing="1" w:after="100" w:afterAutospacing="1" w:line="360" w:lineRule="auto"/>
        <w:jc w:val="both"/>
        <w:rPr>
          <w:rFonts w:ascii="Palatino Linotype" w:hAnsi="Palatino Linotype"/>
        </w:rPr>
      </w:pPr>
      <w:r w:rsidRPr="00A44D8C">
        <w:rPr>
          <w:rFonts w:ascii="Palatino Linotype" w:hAnsi="Palatino Linotype"/>
        </w:rPr>
        <w:t xml:space="preserve">Así, del estudio del expediente electrónico la Ponencia Resolutora determinó </w:t>
      </w:r>
      <w:r w:rsidRPr="00A44D8C">
        <w:rPr>
          <w:rFonts w:ascii="Palatino Linotype" w:hAnsi="Palatino Linotype"/>
          <w:b/>
        </w:rPr>
        <w:t>MODIFICAR</w:t>
      </w:r>
      <w:r w:rsidRPr="00A44D8C">
        <w:rPr>
          <w:rFonts w:ascii="Palatino Linotype" w:hAnsi="Palatino Linotype"/>
        </w:rPr>
        <w:t xml:space="preserve"> la respuesta del </w:t>
      </w:r>
      <w:r w:rsidRPr="00A44D8C">
        <w:rPr>
          <w:rFonts w:ascii="Palatino Linotype" w:hAnsi="Palatino Linotype"/>
          <w:b/>
        </w:rPr>
        <w:t>SUJETO OBLIGADO</w:t>
      </w:r>
      <w:r w:rsidRPr="00A44D8C">
        <w:rPr>
          <w:rFonts w:ascii="Palatino Linotype" w:hAnsi="Palatino Linotype"/>
        </w:rPr>
        <w:t xml:space="preserve"> y ordenar la entrega vía </w:t>
      </w:r>
      <w:r w:rsidRPr="00A44D8C">
        <w:rPr>
          <w:rFonts w:ascii="Palatino Linotype" w:hAnsi="Palatino Linotype"/>
          <w:b/>
        </w:rPr>
        <w:t>SAIMEX</w:t>
      </w:r>
      <w:r w:rsidRPr="00A44D8C">
        <w:rPr>
          <w:rFonts w:ascii="Palatino Linotype" w:hAnsi="Palatino Linotype"/>
        </w:rPr>
        <w:t xml:space="preserve"> de lo siguiente:</w:t>
      </w:r>
    </w:p>
    <w:p w:rsidR="00C74BD5" w:rsidRPr="00A44D8C" w:rsidRDefault="00C74BD5" w:rsidP="00C74BD5">
      <w:pPr>
        <w:pStyle w:val="Prrafodelista"/>
        <w:ind w:left="1134" w:right="1043"/>
        <w:jc w:val="both"/>
        <w:rPr>
          <w:rFonts w:ascii="Palatino Linotype" w:hAnsi="Palatino Linotype"/>
          <w:i/>
          <w:sz w:val="22"/>
          <w:szCs w:val="22"/>
        </w:rPr>
      </w:pPr>
      <w:r>
        <w:rPr>
          <w:rFonts w:ascii="Palatino Linotype" w:hAnsi="Palatino Linotype"/>
          <w:i/>
          <w:sz w:val="22"/>
          <w:szCs w:val="22"/>
        </w:rPr>
        <w:t xml:space="preserve">1.- </w:t>
      </w:r>
      <w:r w:rsidRPr="00A44D8C">
        <w:rPr>
          <w:rFonts w:ascii="Palatino Linotype" w:hAnsi="Palatino Linotype"/>
          <w:i/>
          <w:sz w:val="22"/>
          <w:szCs w:val="22"/>
        </w:rPr>
        <w:t>Funciones del Tesorero(a) Municipal.</w:t>
      </w:r>
    </w:p>
    <w:p w:rsidR="00C74BD5" w:rsidRDefault="00C74BD5" w:rsidP="00C74BD5">
      <w:pPr>
        <w:pStyle w:val="Prrafodelista"/>
        <w:spacing w:line="276" w:lineRule="auto"/>
        <w:ind w:left="1134" w:right="1043"/>
        <w:jc w:val="both"/>
        <w:rPr>
          <w:rFonts w:ascii="Palatino Linotype" w:hAnsi="Palatino Linotype"/>
          <w:b/>
          <w:i/>
          <w:sz w:val="22"/>
          <w:szCs w:val="22"/>
        </w:rPr>
      </w:pPr>
      <w:r>
        <w:rPr>
          <w:rFonts w:ascii="Palatino Linotype" w:hAnsi="Palatino Linotype"/>
          <w:b/>
          <w:i/>
          <w:sz w:val="22"/>
          <w:szCs w:val="22"/>
        </w:rPr>
        <w:lastRenderedPageBreak/>
        <w:t xml:space="preserve">2.- </w:t>
      </w:r>
      <w:r w:rsidRPr="00AC7240">
        <w:rPr>
          <w:rFonts w:ascii="Palatino Linotype" w:hAnsi="Palatino Linotype"/>
          <w:b/>
          <w:i/>
          <w:sz w:val="22"/>
          <w:szCs w:val="22"/>
        </w:rPr>
        <w:t xml:space="preserve">Antigüedad de los servidores públicos que actualmente se encuentren adscritos a la tesorería municipal de </w:t>
      </w:r>
      <w:proofErr w:type="spellStart"/>
      <w:r w:rsidRPr="00AC7240">
        <w:rPr>
          <w:rFonts w:ascii="Palatino Linotype" w:hAnsi="Palatino Linotype"/>
          <w:b/>
          <w:i/>
          <w:sz w:val="22"/>
          <w:szCs w:val="22"/>
        </w:rPr>
        <w:t>Capulhuac</w:t>
      </w:r>
      <w:proofErr w:type="spellEnd"/>
      <w:r w:rsidRPr="00AC7240">
        <w:rPr>
          <w:rFonts w:ascii="Palatino Linotype" w:hAnsi="Palatino Linotype"/>
          <w:b/>
          <w:i/>
          <w:sz w:val="22"/>
          <w:szCs w:val="22"/>
        </w:rPr>
        <w:t xml:space="preserve">. </w:t>
      </w:r>
    </w:p>
    <w:p w:rsidR="00C74BD5" w:rsidRPr="00AC7240" w:rsidRDefault="00C74BD5" w:rsidP="00C74BD5">
      <w:pPr>
        <w:pStyle w:val="Prrafodelista"/>
        <w:spacing w:line="276" w:lineRule="auto"/>
        <w:ind w:left="1134" w:right="1043"/>
        <w:jc w:val="both"/>
        <w:rPr>
          <w:rFonts w:ascii="Palatino Linotype" w:hAnsi="Palatino Linotype"/>
          <w:b/>
          <w:i/>
          <w:sz w:val="22"/>
          <w:szCs w:val="22"/>
        </w:rPr>
      </w:pPr>
    </w:p>
    <w:p w:rsidR="00C74BD5" w:rsidRDefault="00C74BD5" w:rsidP="00C74BD5">
      <w:pPr>
        <w:pStyle w:val="Prrafodelista"/>
        <w:spacing w:line="276" w:lineRule="auto"/>
        <w:ind w:left="1134" w:right="1043"/>
        <w:jc w:val="both"/>
        <w:rPr>
          <w:rFonts w:ascii="Palatino Linotype" w:hAnsi="Palatino Linotype"/>
          <w:i/>
          <w:sz w:val="22"/>
          <w:szCs w:val="22"/>
        </w:rPr>
      </w:pPr>
      <w:r>
        <w:rPr>
          <w:rFonts w:ascii="Palatino Linotype" w:hAnsi="Palatino Linotype"/>
          <w:i/>
          <w:sz w:val="22"/>
          <w:szCs w:val="22"/>
        </w:rPr>
        <w:t xml:space="preserve">3.- </w:t>
      </w:r>
      <w:r w:rsidRPr="00A44D8C">
        <w:rPr>
          <w:rFonts w:ascii="Palatino Linotype" w:hAnsi="Palatino Linotype"/>
          <w:i/>
          <w:sz w:val="22"/>
          <w:szCs w:val="22"/>
        </w:rPr>
        <w:t xml:space="preserve">Salario bruto y neto ni mayor grado de desagregación posible, en el que se </w:t>
      </w:r>
      <w:r w:rsidRPr="00AC7240">
        <w:rPr>
          <w:rFonts w:ascii="Palatino Linotype" w:hAnsi="Palatino Linotype"/>
          <w:i/>
          <w:sz w:val="22"/>
          <w:szCs w:val="22"/>
        </w:rPr>
        <w:t xml:space="preserve">incluyan las percepciones y deducciones de los servidores públicos adscritos a la tesorería municipal de </w:t>
      </w:r>
      <w:proofErr w:type="spellStart"/>
      <w:r w:rsidRPr="00AC7240">
        <w:rPr>
          <w:rFonts w:ascii="Palatino Linotype" w:hAnsi="Palatino Linotype"/>
          <w:i/>
          <w:sz w:val="22"/>
          <w:szCs w:val="22"/>
        </w:rPr>
        <w:t>Capulhuac</w:t>
      </w:r>
      <w:proofErr w:type="spellEnd"/>
      <w:r w:rsidRPr="00AC7240">
        <w:rPr>
          <w:rFonts w:ascii="Palatino Linotype" w:hAnsi="Palatino Linotype"/>
          <w:i/>
          <w:sz w:val="22"/>
          <w:szCs w:val="22"/>
        </w:rPr>
        <w:t xml:space="preserve">, del 1 de enero de 2013 al 15 de junio de 2018. </w:t>
      </w:r>
    </w:p>
    <w:p w:rsidR="00C74BD5" w:rsidRPr="00AC7240" w:rsidRDefault="00C74BD5" w:rsidP="00C74BD5">
      <w:pPr>
        <w:pStyle w:val="Prrafodelista"/>
        <w:spacing w:line="276" w:lineRule="auto"/>
        <w:ind w:left="1134" w:right="1043"/>
        <w:jc w:val="both"/>
        <w:rPr>
          <w:rFonts w:ascii="Palatino Linotype" w:hAnsi="Palatino Linotype"/>
          <w:i/>
          <w:sz w:val="22"/>
          <w:szCs w:val="22"/>
        </w:rPr>
      </w:pPr>
    </w:p>
    <w:p w:rsidR="00C74BD5" w:rsidRDefault="00C74BD5" w:rsidP="00C74BD5">
      <w:pPr>
        <w:pStyle w:val="Prrafodelista"/>
        <w:spacing w:line="276" w:lineRule="auto"/>
        <w:ind w:left="1134" w:right="1043"/>
        <w:jc w:val="both"/>
        <w:rPr>
          <w:rFonts w:ascii="Palatino Linotype" w:hAnsi="Palatino Linotype"/>
          <w:i/>
          <w:sz w:val="22"/>
          <w:szCs w:val="22"/>
        </w:rPr>
      </w:pPr>
      <w:r>
        <w:rPr>
          <w:rFonts w:ascii="Palatino Linotype" w:hAnsi="Palatino Linotype"/>
          <w:i/>
          <w:sz w:val="22"/>
          <w:szCs w:val="22"/>
        </w:rPr>
        <w:t xml:space="preserve">4.- </w:t>
      </w:r>
      <w:r w:rsidRPr="00A44D8C">
        <w:rPr>
          <w:rFonts w:ascii="Palatino Linotype" w:hAnsi="Palatino Linotype"/>
          <w:i/>
          <w:sz w:val="22"/>
          <w:szCs w:val="22"/>
        </w:rPr>
        <w:t xml:space="preserve">Título profesional del Tesorero(a) Municipal. </w:t>
      </w:r>
    </w:p>
    <w:p w:rsidR="00C74BD5" w:rsidRPr="00A44D8C" w:rsidRDefault="00C74BD5" w:rsidP="00C74BD5">
      <w:pPr>
        <w:pStyle w:val="Prrafodelista"/>
        <w:spacing w:line="276" w:lineRule="auto"/>
        <w:ind w:left="1134" w:right="1043"/>
        <w:jc w:val="both"/>
        <w:rPr>
          <w:rFonts w:ascii="Palatino Linotype" w:hAnsi="Palatino Linotype"/>
          <w:i/>
          <w:sz w:val="22"/>
          <w:szCs w:val="22"/>
        </w:rPr>
      </w:pPr>
    </w:p>
    <w:p w:rsidR="00C74BD5" w:rsidRDefault="00C74BD5" w:rsidP="00C74BD5">
      <w:pPr>
        <w:pStyle w:val="Prrafodelista"/>
        <w:spacing w:line="276" w:lineRule="auto"/>
        <w:ind w:left="1134" w:right="1043"/>
        <w:jc w:val="both"/>
        <w:rPr>
          <w:rFonts w:ascii="Palatino Linotype" w:hAnsi="Palatino Linotype"/>
          <w:i/>
          <w:sz w:val="22"/>
          <w:szCs w:val="22"/>
        </w:rPr>
      </w:pPr>
      <w:r>
        <w:rPr>
          <w:rFonts w:ascii="Palatino Linotype" w:hAnsi="Palatino Linotype"/>
          <w:i/>
          <w:sz w:val="22"/>
          <w:szCs w:val="22"/>
        </w:rPr>
        <w:t xml:space="preserve">5.- </w:t>
      </w:r>
      <w:r w:rsidRPr="00A44D8C">
        <w:rPr>
          <w:rFonts w:ascii="Palatino Linotype" w:hAnsi="Palatino Linotype"/>
          <w:i/>
          <w:sz w:val="22"/>
          <w:szCs w:val="22"/>
        </w:rPr>
        <w:t xml:space="preserve">Grado máximo de estudios de aquellos servidores públicos que se encuentren </w:t>
      </w:r>
      <w:r w:rsidRPr="00AC7240">
        <w:rPr>
          <w:rFonts w:ascii="Palatino Linotype" w:hAnsi="Palatino Linotype"/>
          <w:i/>
          <w:sz w:val="22"/>
          <w:szCs w:val="22"/>
        </w:rPr>
        <w:t xml:space="preserve">adscritos n la tesorería municipal de </w:t>
      </w:r>
      <w:proofErr w:type="spellStart"/>
      <w:r w:rsidRPr="00AC7240">
        <w:rPr>
          <w:rFonts w:ascii="Palatino Linotype" w:hAnsi="Palatino Linotype"/>
          <w:i/>
          <w:sz w:val="22"/>
          <w:szCs w:val="22"/>
        </w:rPr>
        <w:t>Capulhuac</w:t>
      </w:r>
      <w:proofErr w:type="spellEnd"/>
      <w:r w:rsidRPr="00AC7240">
        <w:rPr>
          <w:rFonts w:ascii="Palatino Linotype" w:hAnsi="Palatino Linotype"/>
          <w:i/>
          <w:sz w:val="22"/>
          <w:szCs w:val="22"/>
        </w:rPr>
        <w:t xml:space="preserve">, que no cuenten con el cargo de Tesorero(a) Municipal, protegiendo toda aquella información que conlleve n un riesgo grave. </w:t>
      </w:r>
    </w:p>
    <w:p w:rsidR="00C74BD5" w:rsidRPr="00AC7240" w:rsidRDefault="00C74BD5" w:rsidP="00C74BD5">
      <w:pPr>
        <w:pStyle w:val="Prrafodelista"/>
        <w:spacing w:line="276" w:lineRule="auto"/>
        <w:ind w:left="1134" w:right="1043"/>
        <w:jc w:val="both"/>
        <w:rPr>
          <w:rFonts w:ascii="Palatino Linotype" w:hAnsi="Palatino Linotype"/>
          <w:i/>
          <w:sz w:val="22"/>
          <w:szCs w:val="22"/>
        </w:rPr>
      </w:pPr>
    </w:p>
    <w:p w:rsidR="00C74BD5" w:rsidRPr="00AC7240" w:rsidRDefault="00C74BD5" w:rsidP="00C74BD5">
      <w:pPr>
        <w:pStyle w:val="Prrafodelista"/>
        <w:spacing w:line="276" w:lineRule="auto"/>
        <w:ind w:left="1134" w:right="1043"/>
        <w:jc w:val="both"/>
        <w:rPr>
          <w:rFonts w:ascii="Palatino Linotype" w:hAnsi="Palatino Linotype"/>
          <w:i/>
          <w:sz w:val="22"/>
          <w:szCs w:val="22"/>
        </w:rPr>
      </w:pPr>
      <w:r>
        <w:rPr>
          <w:rFonts w:ascii="Palatino Linotype" w:hAnsi="Palatino Linotype"/>
          <w:i/>
          <w:sz w:val="22"/>
          <w:szCs w:val="22"/>
        </w:rPr>
        <w:t xml:space="preserve">6.- </w:t>
      </w:r>
      <w:r w:rsidRPr="00A44D8C">
        <w:rPr>
          <w:rFonts w:ascii="Palatino Linotype" w:hAnsi="Palatino Linotype"/>
          <w:i/>
          <w:sz w:val="22"/>
          <w:szCs w:val="22"/>
        </w:rPr>
        <w:t xml:space="preserve">Cédula profesional de los servidores públicos adscritos a In tesorería municipal de </w:t>
      </w:r>
      <w:proofErr w:type="spellStart"/>
      <w:r w:rsidRPr="00AC7240">
        <w:rPr>
          <w:rFonts w:ascii="Palatino Linotype" w:hAnsi="Palatino Linotype"/>
          <w:i/>
          <w:sz w:val="22"/>
          <w:szCs w:val="22"/>
        </w:rPr>
        <w:t>Capulhuac</w:t>
      </w:r>
      <w:proofErr w:type="spellEnd"/>
      <w:r w:rsidRPr="00AC7240">
        <w:rPr>
          <w:rFonts w:ascii="Palatino Linotype" w:hAnsi="Palatino Linotype"/>
          <w:i/>
          <w:sz w:val="22"/>
          <w:szCs w:val="22"/>
        </w:rPr>
        <w:t xml:space="preserve">. </w:t>
      </w:r>
    </w:p>
    <w:p w:rsidR="00C74BD5" w:rsidRDefault="00C74BD5" w:rsidP="00C74BD5">
      <w:pPr>
        <w:pStyle w:val="Prrafodelista"/>
        <w:spacing w:line="276" w:lineRule="auto"/>
        <w:ind w:left="1134" w:right="1043"/>
        <w:jc w:val="both"/>
        <w:rPr>
          <w:rFonts w:ascii="Palatino Linotype" w:hAnsi="Palatino Linotype"/>
          <w:i/>
          <w:sz w:val="22"/>
          <w:szCs w:val="22"/>
        </w:rPr>
      </w:pPr>
    </w:p>
    <w:p w:rsidR="00C74BD5" w:rsidRDefault="00C74BD5" w:rsidP="00C74BD5">
      <w:pPr>
        <w:pStyle w:val="Prrafodelista"/>
        <w:spacing w:line="276" w:lineRule="auto"/>
        <w:ind w:left="1134" w:right="1043"/>
        <w:jc w:val="both"/>
        <w:rPr>
          <w:rFonts w:ascii="Palatino Linotype" w:hAnsi="Palatino Linotype"/>
          <w:i/>
          <w:sz w:val="22"/>
          <w:szCs w:val="22"/>
        </w:rPr>
      </w:pPr>
      <w:r w:rsidRPr="00AC7240">
        <w:rPr>
          <w:rFonts w:ascii="Palatino Linotype" w:hAnsi="Palatino Linotype"/>
          <w:i/>
          <w:sz w:val="22"/>
          <w:szCs w:val="22"/>
        </w:rPr>
        <w:t xml:space="preserve">Por lo que hace a los datos susceptibles de clasificar, se deberá generar la versión pública correspondiente, en aquellos casos que sea procedente y notificar el acuerdo de clasificación que respalde la versión pública en términos de lo señalado en el Considerando Cuarto y en los artículos 49 fracción VIII, 132 fracción II de la Ley de Transparencia y Acceso a la Información Pública del Estado de México y Municipios y demás normatividad aplicable. </w:t>
      </w:r>
    </w:p>
    <w:p w:rsidR="00C74BD5" w:rsidRPr="00AC7240" w:rsidRDefault="00C74BD5" w:rsidP="00C74BD5">
      <w:pPr>
        <w:pStyle w:val="Prrafodelista"/>
        <w:spacing w:line="276" w:lineRule="auto"/>
        <w:ind w:left="1134" w:right="1043"/>
        <w:jc w:val="both"/>
        <w:rPr>
          <w:rFonts w:ascii="Palatino Linotype" w:hAnsi="Palatino Linotype"/>
          <w:i/>
          <w:sz w:val="22"/>
          <w:szCs w:val="22"/>
        </w:rPr>
      </w:pPr>
    </w:p>
    <w:p w:rsidR="00C74BD5" w:rsidRPr="00AC7240" w:rsidRDefault="00C74BD5" w:rsidP="00C74BD5">
      <w:pPr>
        <w:pStyle w:val="Prrafodelista"/>
        <w:spacing w:line="276" w:lineRule="auto"/>
        <w:ind w:left="1134" w:right="1043"/>
        <w:jc w:val="both"/>
        <w:rPr>
          <w:rFonts w:ascii="Palatino Linotype" w:hAnsi="Palatino Linotype"/>
          <w:i/>
          <w:sz w:val="22"/>
          <w:szCs w:val="22"/>
        </w:rPr>
      </w:pPr>
      <w:r w:rsidRPr="00AC7240">
        <w:rPr>
          <w:rFonts w:ascii="Palatino Linotype" w:hAnsi="Palatino Linotype"/>
          <w:i/>
          <w:sz w:val="22"/>
          <w:szCs w:val="22"/>
        </w:rPr>
        <w:t>Para el punto señalado con el nu</w:t>
      </w:r>
      <w:r>
        <w:rPr>
          <w:rFonts w:ascii="Palatino Linotype" w:hAnsi="Palatino Linotype"/>
          <w:i/>
          <w:sz w:val="22"/>
          <w:szCs w:val="22"/>
        </w:rPr>
        <w:t>meral 6, en caso de que la infor</w:t>
      </w:r>
      <w:r w:rsidRPr="00AC7240">
        <w:rPr>
          <w:rFonts w:ascii="Palatino Linotype" w:hAnsi="Palatino Linotype"/>
          <w:i/>
          <w:sz w:val="22"/>
          <w:szCs w:val="22"/>
        </w:rPr>
        <w:t>mación que se ordena la entrega no haya sido generada ni administrada por el sujeto obligado, bastará con que así lo haga del conocimiento al recurrente.</w:t>
      </w:r>
    </w:p>
    <w:p w:rsidR="00C74BD5" w:rsidRDefault="00C74BD5" w:rsidP="00C74BD5">
      <w:pPr>
        <w:spacing w:before="100" w:beforeAutospacing="1" w:after="100" w:afterAutospacing="1" w:line="360" w:lineRule="auto"/>
        <w:jc w:val="both"/>
        <w:rPr>
          <w:rFonts w:ascii="Palatino Linotype" w:hAnsi="Palatino Linotype"/>
        </w:rPr>
      </w:pPr>
      <w:r w:rsidRPr="00AC7240">
        <w:rPr>
          <w:rFonts w:ascii="Palatino Linotype" w:hAnsi="Palatino Linotype"/>
        </w:rPr>
        <w:t>En ese sentido, la que suscribe reitera, que si bien coincide en términos generales con el sentido de la resolución en comento, difiero respecto a q</w:t>
      </w:r>
      <w:r>
        <w:rPr>
          <w:rFonts w:ascii="Palatino Linotype" w:hAnsi="Palatino Linotype"/>
        </w:rPr>
        <w:t>ue no se precise la tempora</w:t>
      </w:r>
      <w:r w:rsidRPr="00AC7240">
        <w:rPr>
          <w:rFonts w:ascii="Palatino Linotype" w:hAnsi="Palatino Linotype"/>
        </w:rPr>
        <w:t xml:space="preserve">lidad respecto de la cual deberá entregarse la información del punto 2 del </w:t>
      </w:r>
      <w:r w:rsidRPr="00AC7240">
        <w:rPr>
          <w:rFonts w:ascii="Palatino Linotype" w:hAnsi="Palatino Linotype"/>
        </w:rPr>
        <w:lastRenderedPageBreak/>
        <w:t>Resolutivo SEGUNDO, así como que debió ordenarse el Acuerdo de Clasificación de la información respec</w:t>
      </w:r>
      <w:r>
        <w:rPr>
          <w:rFonts w:ascii="Palatino Linotype" w:hAnsi="Palatino Linotype"/>
        </w:rPr>
        <w:t>to al Registro Federal de Contri</w:t>
      </w:r>
      <w:r w:rsidRPr="00AC7240">
        <w:rPr>
          <w:rFonts w:ascii="Palatino Linotype" w:hAnsi="Palatino Linotype"/>
        </w:rPr>
        <w:t xml:space="preserve">buyentes con </w:t>
      </w:r>
      <w:proofErr w:type="spellStart"/>
      <w:r w:rsidRPr="00AC7240">
        <w:rPr>
          <w:rFonts w:ascii="Palatino Linotype" w:hAnsi="Palatino Linotype"/>
        </w:rPr>
        <w:t>homoclave</w:t>
      </w:r>
      <w:proofErr w:type="spellEnd"/>
      <w:r w:rsidRPr="00AC7240">
        <w:rPr>
          <w:rFonts w:ascii="Palatino Linotype" w:hAnsi="Palatino Linotype"/>
        </w:rPr>
        <w:t xml:space="preserve"> que fue solicitado por el particular. </w:t>
      </w:r>
    </w:p>
    <w:p w:rsidR="00C74BD5" w:rsidRPr="00AC7240" w:rsidRDefault="00C74BD5" w:rsidP="00C74BD5">
      <w:pPr>
        <w:spacing w:before="100" w:beforeAutospacing="1" w:after="100" w:afterAutospacing="1" w:line="360" w:lineRule="auto"/>
        <w:jc w:val="both"/>
        <w:rPr>
          <w:rFonts w:ascii="Palatino Linotype" w:hAnsi="Palatino Linotype"/>
        </w:rPr>
      </w:pPr>
      <w:r w:rsidRPr="00AC7240">
        <w:rPr>
          <w:rFonts w:ascii="Palatino Linotype" w:hAnsi="Palatino Linotype"/>
        </w:rPr>
        <w:t xml:space="preserve">Lo anterior, obedece a que </w:t>
      </w:r>
      <w:r w:rsidRPr="00AC7240">
        <w:rPr>
          <w:rFonts w:ascii="Palatino Linotype" w:hAnsi="Palatino Linotype"/>
          <w:b/>
        </w:rPr>
        <w:t>EL RECURRENTE</w:t>
      </w:r>
      <w:r w:rsidRPr="00AC7240">
        <w:rPr>
          <w:rFonts w:ascii="Palatino Linotype" w:hAnsi="Palatino Linotype"/>
        </w:rPr>
        <w:t xml:space="preserve"> desde su solicitud de información omitió señalar la temporalidad de la información consistente en la antigüedad de todo el personal adscrito a la Tesorería Municipal; por lo que, la Ponencia Resolutora debió en ejercicio de la facultad de suplir a los particulares en esta instancia, en términos de los artículos 13 y 181 cuarto párrafo, de la Ley de Transparencia y Acceso a la Información Pública del Estado de México y Municipios, y en aras de privilegiar el principio de máxima publicidad a que se refieren los artículos 4 y 8 del mismo ordenamiento legal, pronunciarse respecto a que el periodo requerido, correspondería al de la fecha de presentación de la solicitud de información. </w:t>
      </w:r>
    </w:p>
    <w:p w:rsidR="00C74BD5" w:rsidRPr="00AC7240" w:rsidRDefault="00C74BD5" w:rsidP="00C74BD5">
      <w:pPr>
        <w:spacing w:before="100" w:beforeAutospacing="1" w:after="100" w:afterAutospacing="1" w:line="360" w:lineRule="auto"/>
        <w:jc w:val="both"/>
        <w:rPr>
          <w:rFonts w:ascii="Palatino Linotype" w:hAnsi="Palatino Linotype"/>
        </w:rPr>
      </w:pPr>
      <w:r w:rsidRPr="00AC7240">
        <w:rPr>
          <w:rFonts w:ascii="Palatino Linotype" w:hAnsi="Palatino Linotype"/>
        </w:rPr>
        <w:t xml:space="preserve">En ese orden de ideas, debió entenderse que </w:t>
      </w:r>
      <w:r w:rsidRPr="00AC7240">
        <w:rPr>
          <w:rFonts w:ascii="Palatino Linotype" w:hAnsi="Palatino Linotype"/>
          <w:b/>
        </w:rPr>
        <w:t>EL SUJETO OBLIGADO</w:t>
      </w:r>
      <w:r w:rsidRPr="00AC7240">
        <w:rPr>
          <w:rFonts w:ascii="Palatino Linotype" w:hAnsi="Palatino Linotype"/>
        </w:rPr>
        <w:t xml:space="preserve"> debería hacer entrega del documento en donde conste la antigüedad de los servidores públicos que integran la Tesorería Municipal al 18 de junio de 2018, es decir, a la fecha de presentación de la solicitud de información del particular. </w:t>
      </w:r>
    </w:p>
    <w:p w:rsidR="00C74BD5" w:rsidRPr="00AC7240" w:rsidRDefault="00C74BD5" w:rsidP="00C74BD5">
      <w:pPr>
        <w:spacing w:before="100" w:beforeAutospacing="1" w:after="100" w:afterAutospacing="1" w:line="360" w:lineRule="auto"/>
        <w:jc w:val="both"/>
        <w:rPr>
          <w:rFonts w:ascii="Palatino Linotype" w:hAnsi="Palatino Linotype"/>
        </w:rPr>
      </w:pPr>
      <w:r w:rsidRPr="00AC7240">
        <w:rPr>
          <w:rFonts w:ascii="Palatino Linotype" w:hAnsi="Palatino Linotype"/>
        </w:rPr>
        <w:t xml:space="preserve">Ahora bien, respecto al punto 2 pero de la solicitud de información, consistente en el Registro Federal de Contribuyentes con </w:t>
      </w:r>
      <w:proofErr w:type="spellStart"/>
      <w:r w:rsidRPr="00AC7240">
        <w:rPr>
          <w:rFonts w:ascii="Palatino Linotype" w:hAnsi="Palatino Linotype"/>
        </w:rPr>
        <w:t>Homoclave</w:t>
      </w:r>
      <w:proofErr w:type="spellEnd"/>
      <w:r w:rsidRPr="00AC7240">
        <w:rPr>
          <w:rFonts w:ascii="Palatino Linotype" w:hAnsi="Palatino Linotype"/>
        </w:rPr>
        <w:t xml:space="preserve">, a criterio de la suscrita, lo procedente era que la Ponencia Resolutora precisara no sólo en estudio que se trata de datos personales sensibles sino que en consecuencia debió clasificarse la información como </w:t>
      </w:r>
      <w:r>
        <w:rPr>
          <w:rFonts w:ascii="Palatino Linotype" w:hAnsi="Palatino Linotype"/>
        </w:rPr>
        <w:t xml:space="preserve">confidencial </w:t>
      </w:r>
      <w:r w:rsidRPr="00AC7240">
        <w:rPr>
          <w:rFonts w:ascii="Palatino Linotype" w:hAnsi="Palatino Linotype"/>
        </w:rPr>
        <w:t xml:space="preserve">así como establecer en resolutivos de manera específica se entregaría </w:t>
      </w:r>
      <w:r w:rsidRPr="00AC7240">
        <w:rPr>
          <w:rFonts w:ascii="Palatino Linotype" w:hAnsi="Palatino Linotype"/>
        </w:rPr>
        <w:lastRenderedPageBreak/>
        <w:t xml:space="preserve">el Acuerdo de Clasificación de la información como confidencial respecto de esos datos. </w:t>
      </w:r>
    </w:p>
    <w:p w:rsidR="00C74BD5" w:rsidRPr="00AC7240" w:rsidRDefault="00C74BD5" w:rsidP="00C74BD5">
      <w:pPr>
        <w:spacing w:before="100" w:beforeAutospacing="1" w:after="100" w:afterAutospacing="1" w:line="360" w:lineRule="auto"/>
        <w:jc w:val="both"/>
        <w:rPr>
          <w:rFonts w:ascii="Palatino Linotype" w:hAnsi="Palatino Linotype"/>
        </w:rPr>
      </w:pPr>
      <w:r w:rsidRPr="00AC7240">
        <w:rPr>
          <w:rFonts w:ascii="Palatino Linotype" w:hAnsi="Palatino Linotype"/>
        </w:rPr>
        <w:t xml:space="preserve">Pues, el Registro Federal de Contribuyentes, este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operaciones o actividades de naturaleza fiscal, la cual, les permite hacerse identificables respecto de una situación fiscal determinada. </w:t>
      </w:r>
    </w:p>
    <w:p w:rsidR="00C74BD5" w:rsidRPr="00AC7240" w:rsidRDefault="00C74BD5" w:rsidP="00C74BD5">
      <w:pPr>
        <w:spacing w:before="100" w:beforeAutospacing="1" w:after="100" w:afterAutospacing="1" w:line="360" w:lineRule="auto"/>
        <w:jc w:val="both"/>
        <w:rPr>
          <w:rFonts w:ascii="Palatino Linotype" w:hAnsi="Palatino Linotype"/>
        </w:rPr>
      </w:pPr>
      <w:r w:rsidRPr="00AC7240">
        <w:rPr>
          <w:rFonts w:ascii="Palatino Linotype" w:hAnsi="Palatino Linotype"/>
        </w:rPr>
        <w:t>Lo anterior, es compartido por el Instituto Nacional de Transparencia, Acceso a la Información y Protección de Datos (INAI) a través del Criterio 19/17, el cual es del tenor siguiente:</w:t>
      </w:r>
    </w:p>
    <w:p w:rsidR="00C74BD5" w:rsidRPr="00AC7240" w:rsidRDefault="00C74BD5" w:rsidP="00C74BD5">
      <w:pPr>
        <w:spacing w:before="100" w:beforeAutospacing="1" w:after="100" w:afterAutospacing="1"/>
        <w:ind w:left="851" w:right="899"/>
        <w:jc w:val="both"/>
        <w:rPr>
          <w:rFonts w:ascii="Palatino Linotype" w:hAnsi="Palatino Linotype"/>
          <w:i/>
          <w:sz w:val="22"/>
          <w:szCs w:val="22"/>
        </w:rPr>
      </w:pPr>
      <w:r w:rsidRPr="00AC7240">
        <w:rPr>
          <w:rFonts w:ascii="Palatino Linotype" w:hAnsi="Palatino Linotype"/>
          <w:i/>
          <w:sz w:val="22"/>
          <w:szCs w:val="22"/>
        </w:rPr>
        <w:t xml:space="preserve">"Registro Federal de Contribuyentes (RFC) de personas físicas. El RFC es una clave de carácter fiscal, única e irrepetible, que permite identificar </w:t>
      </w:r>
      <w:proofErr w:type="spellStart"/>
      <w:r w:rsidRPr="00AC7240">
        <w:rPr>
          <w:rFonts w:ascii="Palatino Linotype" w:hAnsi="Palatino Linotype"/>
          <w:i/>
          <w:sz w:val="22"/>
          <w:szCs w:val="22"/>
        </w:rPr>
        <w:t>nl</w:t>
      </w:r>
      <w:proofErr w:type="spellEnd"/>
      <w:r w:rsidRPr="00AC7240">
        <w:rPr>
          <w:rFonts w:ascii="Palatino Linotype" w:hAnsi="Palatino Linotype"/>
          <w:i/>
          <w:sz w:val="22"/>
          <w:szCs w:val="22"/>
        </w:rPr>
        <w:t xml:space="preserve"> titular, su edad y fecha de nacimiento, por lo que es un dato personal de carácter confidencial."</w:t>
      </w:r>
    </w:p>
    <w:p w:rsidR="00C74BD5" w:rsidRPr="0049038F" w:rsidRDefault="00C74BD5" w:rsidP="00C74BD5">
      <w:pPr>
        <w:spacing w:before="100" w:beforeAutospacing="1" w:after="100" w:afterAutospacing="1" w:line="360" w:lineRule="auto"/>
        <w:jc w:val="both"/>
        <w:rPr>
          <w:rFonts w:ascii="Palatino Linotype" w:hAnsi="Palatino Linotype"/>
        </w:rPr>
      </w:pPr>
      <w:r w:rsidRPr="0049038F">
        <w:rPr>
          <w:rFonts w:ascii="Palatino Linotype" w:hAnsi="Palatino Linotype"/>
        </w:rPr>
        <w:t xml:space="preserve">Así, el RFC se vincula al nombre de su titular y permite identificar la edad de la persona, su fecha de nacimiento, así como su </w:t>
      </w:r>
      <w:proofErr w:type="spellStart"/>
      <w:r w:rsidRPr="0049038F">
        <w:rPr>
          <w:rFonts w:ascii="Palatino Linotype" w:hAnsi="Palatino Linotype"/>
        </w:rPr>
        <w:t>homoclave</w:t>
      </w:r>
      <w:proofErr w:type="spellEnd"/>
      <w:r w:rsidRPr="0049038F">
        <w:rPr>
          <w:rFonts w:ascii="Palatino Linotype" w:hAnsi="Palatino Linotype"/>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w:t>
      </w:r>
      <w:r>
        <w:rPr>
          <w:rFonts w:ascii="Palatino Linotype" w:hAnsi="Palatino Linotype"/>
        </w:rPr>
        <w:t>.Mé</w:t>
      </w:r>
      <w:r w:rsidRPr="0049038F">
        <w:rPr>
          <w:rFonts w:ascii="Palatino Linotype" w:hAnsi="Palatino Linotype"/>
        </w:rPr>
        <w:t>xico y Municipios.</w:t>
      </w:r>
    </w:p>
    <w:p w:rsidR="00C74BD5" w:rsidRPr="0049038F" w:rsidRDefault="00C74BD5" w:rsidP="00C74BD5">
      <w:pPr>
        <w:spacing w:before="100" w:beforeAutospacing="1" w:after="100" w:afterAutospacing="1" w:line="360" w:lineRule="auto"/>
        <w:jc w:val="both"/>
        <w:rPr>
          <w:rFonts w:ascii="Palatino Linotype" w:hAnsi="Palatino Linotype"/>
        </w:rPr>
      </w:pPr>
      <w:r w:rsidRPr="0049038F">
        <w:rPr>
          <w:rFonts w:ascii="Palatino Linotype" w:hAnsi="Palatino Linotype"/>
        </w:rPr>
        <w:lastRenderedPageBreak/>
        <w:t xml:space="preserve">Es por lo anteriormente expuesto, que la que suscrita emite </w:t>
      </w:r>
      <w:r w:rsidRPr="0049038F">
        <w:rPr>
          <w:rFonts w:ascii="Palatino Linotype" w:hAnsi="Palatino Linotype"/>
          <w:b/>
        </w:rPr>
        <w:t>VOTO PARTICULAR</w:t>
      </w:r>
      <w:r w:rsidRPr="0049038F">
        <w:rPr>
          <w:rFonts w:ascii="Palatino Linotype" w:hAnsi="Palatino Linotype"/>
        </w:rPr>
        <w:t>, pues se insiste que lo procedente respecto a la entrega de la información señalada en el punto 2 del Resolutivo SEGUNDO de la resolución de mérito, debió ordenarse a la fecha de presentación de la solicitud de información mientras que para el caso de la información señalada en el punto 2 de la solicitud de información debió ordenarse la entrega del Acuerdo de Clasificación de la información como confidencial al tratarse de datos personales sensibles que hacen identificable a una persona.</w:t>
      </w:r>
    </w:p>
    <w:p w:rsidR="00C74BD5" w:rsidRPr="00A44D8C" w:rsidRDefault="00C74BD5" w:rsidP="00C74BD5">
      <w:pPr>
        <w:spacing w:before="100" w:beforeAutospacing="1" w:after="100" w:afterAutospacing="1" w:line="360" w:lineRule="auto"/>
        <w:jc w:val="both"/>
        <w:rPr>
          <w:rFonts w:ascii="Palatino Linotype" w:hAnsi="Palatino Linotype" w:cs="Arial"/>
          <w:b/>
        </w:rPr>
      </w:pPr>
    </w:p>
    <w:p w:rsidR="00C74BD5" w:rsidRPr="00A44D8C" w:rsidRDefault="00C74BD5" w:rsidP="00C74BD5">
      <w:pPr>
        <w:spacing w:before="100" w:beforeAutospacing="1" w:after="100" w:afterAutospacing="1" w:line="360" w:lineRule="auto"/>
        <w:jc w:val="both"/>
        <w:rPr>
          <w:rFonts w:ascii="Palatino Linotype" w:hAnsi="Palatino Linotype" w:cs="Arial"/>
          <w:b/>
        </w:rPr>
      </w:pPr>
    </w:p>
    <w:p w:rsidR="00C74BD5" w:rsidRPr="00A44D8C" w:rsidRDefault="00C74BD5" w:rsidP="00C74BD5">
      <w:pPr>
        <w:spacing w:before="100" w:beforeAutospacing="1" w:after="100" w:afterAutospacing="1" w:line="360" w:lineRule="auto"/>
        <w:jc w:val="both"/>
        <w:rPr>
          <w:rFonts w:ascii="Palatino Linotype" w:hAnsi="Palatino Linotype" w:cs="Arial"/>
          <w:b/>
        </w:rPr>
      </w:pPr>
    </w:p>
    <w:p w:rsidR="00C74BD5" w:rsidRDefault="00C74BD5" w:rsidP="00C74BD5">
      <w:pPr>
        <w:jc w:val="center"/>
        <w:rPr>
          <w:rFonts w:ascii="Palatino Linotype" w:eastAsia="Calibri" w:hAnsi="Palatino Linotype" w:cs="Arial"/>
          <w:b/>
          <w:color w:val="000000" w:themeColor="text1"/>
        </w:rPr>
      </w:pPr>
      <w:r w:rsidRPr="0049038F">
        <w:rPr>
          <w:rFonts w:ascii="Palatino Linotype" w:eastAsia="Calibri" w:hAnsi="Palatino Linotype" w:cs="Arial"/>
          <w:b/>
          <w:color w:val="000000" w:themeColor="text1"/>
        </w:rPr>
        <w:t xml:space="preserve">EVA ABAID YAPUR </w:t>
      </w:r>
    </w:p>
    <w:p w:rsidR="00C74BD5" w:rsidRDefault="00C74BD5" w:rsidP="00C74BD5">
      <w:pPr>
        <w:jc w:val="center"/>
        <w:rPr>
          <w:rFonts w:ascii="Palatino Linotype" w:eastAsia="Calibri" w:hAnsi="Palatino Linotype" w:cs="Arial"/>
          <w:b/>
          <w:color w:val="000000" w:themeColor="text1"/>
        </w:rPr>
      </w:pPr>
      <w:r w:rsidRPr="0049038F">
        <w:rPr>
          <w:rFonts w:ascii="Palatino Linotype" w:eastAsia="Calibri" w:hAnsi="Palatino Linotype" w:cs="Arial"/>
          <w:b/>
          <w:color w:val="000000" w:themeColor="text1"/>
        </w:rPr>
        <w:t xml:space="preserve">COMISIONADA </w:t>
      </w:r>
    </w:p>
    <w:p w:rsidR="00D40825" w:rsidRPr="0049038F" w:rsidRDefault="00D40825" w:rsidP="00C74BD5">
      <w:pPr>
        <w:jc w:val="center"/>
        <w:rPr>
          <w:rFonts w:ascii="Palatino Linotype" w:eastAsia="Calibri" w:hAnsi="Palatino Linotype" w:cs="Arial"/>
          <w:b/>
          <w:color w:val="000000" w:themeColor="text1"/>
        </w:rPr>
      </w:pPr>
      <w:r>
        <w:rPr>
          <w:rFonts w:ascii="Palatino Linotype" w:hAnsi="Palatino Linotype" w:cs="Arial"/>
          <w:b/>
        </w:rPr>
        <w:t>(RÚBRICA)</w:t>
      </w:r>
      <w:bookmarkStart w:id="0" w:name="_GoBack"/>
      <w:bookmarkEnd w:id="0"/>
    </w:p>
    <w:p w:rsidR="00C74BD5" w:rsidRPr="00A44D8C" w:rsidRDefault="00C74BD5" w:rsidP="00C74BD5">
      <w:pPr>
        <w:spacing w:before="100" w:beforeAutospacing="1" w:after="100" w:afterAutospacing="1" w:line="360" w:lineRule="auto"/>
        <w:jc w:val="both"/>
        <w:rPr>
          <w:rFonts w:ascii="Palatino Linotype" w:eastAsia="Calibri" w:hAnsi="Palatino Linotype" w:cs="Arial"/>
          <w:b/>
          <w:color w:val="000000" w:themeColor="text1"/>
        </w:rPr>
      </w:pPr>
    </w:p>
    <w:p w:rsidR="00C74BD5" w:rsidRDefault="00C74BD5" w:rsidP="00C74BD5">
      <w:pPr>
        <w:jc w:val="both"/>
        <w:rPr>
          <w:rFonts w:ascii="Palatino Linotype" w:eastAsia="Calibri" w:hAnsi="Palatino Linotype" w:cs="Arial"/>
          <w:color w:val="000000" w:themeColor="text1"/>
          <w:sz w:val="20"/>
          <w:szCs w:val="20"/>
        </w:rPr>
      </w:pPr>
    </w:p>
    <w:p w:rsidR="00C74BD5" w:rsidRDefault="00C74BD5" w:rsidP="00C74BD5">
      <w:pPr>
        <w:jc w:val="both"/>
        <w:rPr>
          <w:rFonts w:ascii="Palatino Linotype" w:eastAsia="Calibri" w:hAnsi="Palatino Linotype" w:cs="Arial"/>
          <w:color w:val="000000" w:themeColor="text1"/>
          <w:sz w:val="20"/>
          <w:szCs w:val="20"/>
        </w:rPr>
      </w:pPr>
    </w:p>
    <w:p w:rsidR="00C74BD5" w:rsidRDefault="00C74BD5" w:rsidP="00C74BD5">
      <w:pPr>
        <w:jc w:val="both"/>
        <w:rPr>
          <w:rFonts w:ascii="Palatino Linotype" w:eastAsia="Calibri" w:hAnsi="Palatino Linotype" w:cs="Arial"/>
          <w:color w:val="000000" w:themeColor="text1"/>
          <w:sz w:val="20"/>
          <w:szCs w:val="20"/>
        </w:rPr>
      </w:pPr>
    </w:p>
    <w:p w:rsidR="00C74BD5" w:rsidRDefault="00C74BD5" w:rsidP="00C74BD5">
      <w:pPr>
        <w:jc w:val="both"/>
        <w:rPr>
          <w:rFonts w:ascii="Palatino Linotype" w:eastAsia="Calibri" w:hAnsi="Palatino Linotype" w:cs="Arial"/>
          <w:color w:val="000000" w:themeColor="text1"/>
          <w:sz w:val="20"/>
          <w:szCs w:val="20"/>
        </w:rPr>
      </w:pPr>
    </w:p>
    <w:p w:rsidR="00C74BD5" w:rsidRDefault="00C74BD5" w:rsidP="00C74BD5">
      <w:pPr>
        <w:jc w:val="both"/>
        <w:rPr>
          <w:rFonts w:ascii="Palatino Linotype" w:eastAsia="Calibri" w:hAnsi="Palatino Linotype" w:cs="Arial"/>
          <w:color w:val="000000" w:themeColor="text1"/>
          <w:sz w:val="20"/>
          <w:szCs w:val="20"/>
        </w:rPr>
      </w:pPr>
    </w:p>
    <w:p w:rsidR="00C74BD5" w:rsidRDefault="00C74BD5" w:rsidP="00C74BD5">
      <w:pPr>
        <w:jc w:val="both"/>
        <w:rPr>
          <w:rFonts w:ascii="Palatino Linotype" w:eastAsia="Calibri" w:hAnsi="Palatino Linotype" w:cs="Arial"/>
          <w:color w:val="000000" w:themeColor="text1"/>
          <w:sz w:val="20"/>
          <w:szCs w:val="20"/>
        </w:rPr>
      </w:pPr>
    </w:p>
    <w:p w:rsidR="00C74BD5" w:rsidRDefault="00C74BD5" w:rsidP="00C74BD5">
      <w:pPr>
        <w:jc w:val="both"/>
        <w:rPr>
          <w:rFonts w:ascii="Palatino Linotype" w:eastAsia="Calibri" w:hAnsi="Palatino Linotype" w:cs="Arial"/>
          <w:color w:val="000000" w:themeColor="text1"/>
          <w:sz w:val="20"/>
          <w:szCs w:val="20"/>
        </w:rPr>
      </w:pPr>
    </w:p>
    <w:p w:rsidR="00C74BD5" w:rsidRDefault="00C74BD5" w:rsidP="00C74BD5">
      <w:pPr>
        <w:jc w:val="both"/>
        <w:rPr>
          <w:rFonts w:ascii="Palatino Linotype" w:eastAsia="Calibri" w:hAnsi="Palatino Linotype" w:cs="Arial"/>
          <w:color w:val="000000" w:themeColor="text1"/>
          <w:sz w:val="20"/>
          <w:szCs w:val="20"/>
        </w:rPr>
      </w:pPr>
    </w:p>
    <w:p w:rsidR="00C74BD5" w:rsidRDefault="00C74BD5" w:rsidP="00C74BD5">
      <w:pPr>
        <w:jc w:val="both"/>
        <w:rPr>
          <w:rFonts w:ascii="Palatino Linotype" w:eastAsia="Calibri" w:hAnsi="Palatino Linotype" w:cs="Arial"/>
          <w:color w:val="000000" w:themeColor="text1"/>
          <w:sz w:val="20"/>
          <w:szCs w:val="20"/>
        </w:rPr>
      </w:pPr>
      <w:r w:rsidRPr="0049038F">
        <w:rPr>
          <w:rFonts w:ascii="Palatino Linotype" w:eastAsia="Calibri" w:hAnsi="Palatino Linotype" w:cs="Arial"/>
          <w:color w:val="000000" w:themeColor="text1"/>
          <w:sz w:val="20"/>
          <w:szCs w:val="20"/>
        </w:rPr>
        <w:t>Esta hoja corresponde al voto particular emitido en la resolución del recurso de revisión 02630/INFOEM/IP/RR/2018, aprobada el veintiséis de septiembre de dos mil dieciocho.</w:t>
      </w:r>
    </w:p>
    <w:p w:rsidR="00C31134" w:rsidRPr="00C31134" w:rsidRDefault="00C31134" w:rsidP="00C74BD5">
      <w:pPr>
        <w:jc w:val="both"/>
        <w:rPr>
          <w:rFonts w:ascii="Palatino Linotype" w:eastAsia="Calibri" w:hAnsi="Palatino Linotype" w:cs="Arial"/>
          <w:color w:val="000000" w:themeColor="text1"/>
          <w:sz w:val="10"/>
          <w:szCs w:val="10"/>
        </w:rPr>
      </w:pPr>
    </w:p>
    <w:p w:rsidR="00C23B43" w:rsidRDefault="00C74BD5" w:rsidP="00C74BD5">
      <w:pPr>
        <w:jc w:val="both"/>
      </w:pPr>
      <w:r w:rsidRPr="0049038F">
        <w:rPr>
          <w:rFonts w:ascii="Palatino Linotype" w:eastAsia="Calibri" w:hAnsi="Palatino Linotype" w:cs="Arial"/>
          <w:color w:val="000000" w:themeColor="text1"/>
          <w:sz w:val="20"/>
          <w:szCs w:val="20"/>
        </w:rPr>
        <w:t>YSM/AMV</w:t>
      </w:r>
    </w:p>
    <w:sectPr w:rsidR="00C23B43" w:rsidSect="00017A8B">
      <w:headerReference w:type="even" r:id="rId6"/>
      <w:headerReference w:type="default" r:id="rId7"/>
      <w:footerReference w:type="default" r:id="rId8"/>
      <w:headerReference w:type="firs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750" w:rsidRDefault="00776750">
      <w:r>
        <w:separator/>
      </w:r>
    </w:p>
  </w:endnote>
  <w:endnote w:type="continuationSeparator" w:id="0">
    <w:p w:rsidR="00776750" w:rsidRDefault="0077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40825" w:rsidP="00DC5C4E">
    <w:pPr>
      <w:pStyle w:val="Piedepgina"/>
      <w:tabs>
        <w:tab w:val="clear" w:pos="4252"/>
        <w:tab w:val="left" w:pos="4228"/>
      </w:tabs>
      <w:rPr>
        <w:rFonts w:ascii="Palatino Linotype" w:hAnsi="Palatino Linotype" w:cs="Arial"/>
        <w:b/>
        <w:bCs/>
        <w:sz w:val="20"/>
        <w:szCs w:val="20"/>
      </w:rPr>
    </w:pPr>
  </w:p>
  <w:p w:rsidR="00AC7240" w:rsidRDefault="00D40825" w:rsidP="00DC5C4E">
    <w:pPr>
      <w:pStyle w:val="Piedepgina"/>
      <w:tabs>
        <w:tab w:val="clear" w:pos="4252"/>
        <w:tab w:val="left" w:pos="4228"/>
      </w:tabs>
      <w:rPr>
        <w:rFonts w:ascii="Palatino Linotype" w:hAnsi="Palatino Linotype" w:cs="Arial"/>
        <w:b/>
        <w:bCs/>
        <w:sz w:val="20"/>
        <w:szCs w:val="20"/>
      </w:rPr>
    </w:pPr>
  </w:p>
  <w:p w:rsidR="005C7C8F" w:rsidRDefault="00D40825" w:rsidP="00DC5C4E">
    <w:pPr>
      <w:pStyle w:val="Piedepgina"/>
      <w:tabs>
        <w:tab w:val="clear" w:pos="4252"/>
        <w:tab w:val="left" w:pos="4228"/>
      </w:tabs>
      <w:rPr>
        <w:rFonts w:ascii="Palatino Linotype" w:hAnsi="Palatino Linotype" w:cs="Arial"/>
        <w:b/>
        <w:bCs/>
        <w:sz w:val="20"/>
        <w:szCs w:val="20"/>
      </w:rPr>
    </w:pPr>
  </w:p>
  <w:p w:rsidR="005C7C8F" w:rsidRDefault="00D40825" w:rsidP="00DC5C4E">
    <w:pPr>
      <w:pStyle w:val="Piedepgina"/>
      <w:tabs>
        <w:tab w:val="clear" w:pos="4252"/>
        <w:tab w:val="left" w:pos="4228"/>
      </w:tabs>
      <w:rPr>
        <w:rFonts w:ascii="Palatino Linotype" w:hAnsi="Palatino Linotype" w:cs="Arial"/>
        <w:b/>
        <w:bCs/>
        <w:sz w:val="20"/>
        <w:szCs w:val="20"/>
      </w:rPr>
    </w:pPr>
  </w:p>
  <w:p w:rsidR="005C7C8F" w:rsidRDefault="00D40825" w:rsidP="00DC5C4E">
    <w:pPr>
      <w:pStyle w:val="Piedepgina"/>
      <w:rPr>
        <w:rFonts w:ascii="Palatino Linotype" w:hAnsi="Palatino Linotype" w:cs="Arial"/>
        <w:b/>
        <w:bCs/>
        <w:sz w:val="20"/>
        <w:szCs w:val="20"/>
      </w:rPr>
    </w:pPr>
  </w:p>
  <w:p w:rsidR="005C7C8F" w:rsidRPr="00F12350" w:rsidRDefault="00C74BD5"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4082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40825">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D40825"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750" w:rsidRDefault="00776750">
      <w:r>
        <w:separator/>
      </w:r>
    </w:p>
  </w:footnote>
  <w:footnote w:type="continuationSeparator" w:id="0">
    <w:p w:rsidR="00776750" w:rsidRDefault="00776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4082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C74BD5"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15AE4453" wp14:editId="597FED82">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D40825" w:rsidP="00DC5C4E">
    <w:pPr>
      <w:pStyle w:val="Encabezado"/>
      <w:tabs>
        <w:tab w:val="clear" w:pos="4252"/>
        <w:tab w:val="clear" w:pos="8504"/>
        <w:tab w:val="left" w:pos="2326"/>
      </w:tabs>
      <w:jc w:val="right"/>
    </w:pPr>
  </w:p>
  <w:p w:rsidR="005C7C8F" w:rsidRDefault="00C74BD5"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C74BD5"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C31134">
      <w:rPr>
        <w:rFonts w:ascii="Palatino Linotype" w:hAnsi="Palatino Linotype" w:cs="Arial"/>
        <w:sz w:val="20"/>
        <w:szCs w:val="20"/>
      </w:rPr>
      <w:t>02630</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D40825"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7.2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D4082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D5"/>
    <w:rsid w:val="00776750"/>
    <w:rsid w:val="00C23B43"/>
    <w:rsid w:val="00C31134"/>
    <w:rsid w:val="00C74BD5"/>
    <w:rsid w:val="00C9714C"/>
    <w:rsid w:val="00D408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292D9F0-18B2-48FA-8DA2-8C41C09A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BD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4BD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74BD5"/>
    <w:rPr>
      <w:rFonts w:eastAsiaTheme="minorEastAsia"/>
      <w:sz w:val="24"/>
      <w:szCs w:val="24"/>
      <w:lang w:val="es-ES_tradnl" w:eastAsia="es-ES"/>
    </w:rPr>
  </w:style>
  <w:style w:type="paragraph" w:styleId="Piedepgina">
    <w:name w:val="footer"/>
    <w:basedOn w:val="Normal"/>
    <w:link w:val="PiedepginaCar"/>
    <w:uiPriority w:val="99"/>
    <w:unhideWhenUsed/>
    <w:rsid w:val="00C74BD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74BD5"/>
    <w:rPr>
      <w:rFonts w:eastAsiaTheme="minorEastAsia"/>
      <w:sz w:val="24"/>
      <w:szCs w:val="24"/>
      <w:lang w:val="es-ES_tradnl" w:eastAsia="es-ES"/>
    </w:rPr>
  </w:style>
  <w:style w:type="paragraph" w:styleId="Prrafodelista">
    <w:name w:val="List Paragraph"/>
    <w:basedOn w:val="Normal"/>
    <w:link w:val="PrrafodelistaCar"/>
    <w:uiPriority w:val="34"/>
    <w:qFormat/>
    <w:rsid w:val="00C74BD5"/>
    <w:pPr>
      <w:ind w:left="720"/>
      <w:contextualSpacing/>
    </w:pPr>
  </w:style>
  <w:style w:type="character" w:customStyle="1" w:styleId="PrrafodelistaCar">
    <w:name w:val="Párrafo de lista Car"/>
    <w:link w:val="Prrafodelista"/>
    <w:uiPriority w:val="34"/>
    <w:locked/>
    <w:rsid w:val="00C74B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1274</Words>
  <Characters>7011</Characters>
  <Application>Microsoft Office Word</Application>
  <DocSecurity>0</DocSecurity>
  <Lines>58</Lines>
  <Paragraphs>16</Paragraphs>
  <ScaleCrop>false</ScaleCrop>
  <Company/>
  <LinksUpToDate>false</LinksUpToDate>
  <CharactersWithSpaces>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2018-10-18T00:19:00Z</dcterms:created>
  <dcterms:modified xsi:type="dcterms:W3CDTF">2018-10-19T20:02:00Z</dcterms:modified>
</cp:coreProperties>
</file>